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6D6A" w14:textId="77777777" w:rsidR="00C81557" w:rsidRPr="002047DF" w:rsidRDefault="00B448FA">
      <w:pPr>
        <w:jc w:val="center"/>
        <w:rPr>
          <w:rStyle w:val="Robust"/>
          <w:sz w:val="28"/>
          <w:szCs w:val="28"/>
          <w:lang w:val="en-GB"/>
        </w:rPr>
      </w:pPr>
      <w:r w:rsidRPr="002047DF">
        <w:rPr>
          <w:rStyle w:val="Robust"/>
          <w:sz w:val="28"/>
          <w:szCs w:val="28"/>
          <w:lang w:val="en-GB"/>
        </w:rPr>
        <w:t>CANCELLATION</w:t>
      </w:r>
    </w:p>
    <w:p w14:paraId="76EA6DFF" w14:textId="77777777" w:rsidR="00B448FA" w:rsidRPr="00E975EC" w:rsidRDefault="00422600" w:rsidP="008A3F4C">
      <w:pPr>
        <w:jc w:val="center"/>
        <w:rPr>
          <w:rStyle w:val="Robust"/>
          <w:sz w:val="28"/>
          <w:szCs w:val="28"/>
          <w:lang w:val="en-GB"/>
        </w:rPr>
      </w:pPr>
      <w:r w:rsidRPr="0058622E">
        <w:rPr>
          <w:rStyle w:val="Robust"/>
          <w:sz w:val="28"/>
          <w:szCs w:val="28"/>
          <w:lang w:val="en-GB"/>
        </w:rPr>
        <w:t>O</w:t>
      </w:r>
      <w:r w:rsidR="00B448FA" w:rsidRPr="0058622E">
        <w:rPr>
          <w:rStyle w:val="Robust"/>
          <w:sz w:val="28"/>
          <w:szCs w:val="28"/>
          <w:lang w:val="en-GB"/>
        </w:rPr>
        <w:t xml:space="preserve">F A SERVICE TENDER </w:t>
      </w:r>
      <w:r w:rsidRPr="0058622E">
        <w:rPr>
          <w:rStyle w:val="Robust"/>
          <w:sz w:val="28"/>
          <w:szCs w:val="28"/>
          <w:lang w:val="en-GB"/>
        </w:rPr>
        <w:t>PROCEDURE</w:t>
      </w:r>
    </w:p>
    <w:p w14:paraId="1A8ABE75" w14:textId="77777777" w:rsidR="00B448FA" w:rsidRPr="00496969" w:rsidRDefault="0058622E">
      <w:pPr>
        <w:jc w:val="center"/>
        <w:rPr>
          <w:rStyle w:val="Robust"/>
          <w:sz w:val="28"/>
          <w:szCs w:val="28"/>
          <w:lang w:val="en-GB"/>
        </w:rPr>
      </w:pPr>
      <w:r w:rsidRPr="0058622E">
        <w:rPr>
          <w:rStyle w:val="Robust"/>
          <w:sz w:val="28"/>
          <w:szCs w:val="28"/>
          <w:lang w:val="en-GB"/>
        </w:rPr>
        <w:t>Acquisition of financial management services</w:t>
      </w:r>
    </w:p>
    <w:p w14:paraId="57B95ADB" w14:textId="77777777" w:rsidR="00496969" w:rsidRDefault="00496969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</w:p>
    <w:p w14:paraId="7CDF60EA" w14:textId="77777777" w:rsidR="00B448FA" w:rsidRPr="00664635" w:rsidRDefault="00B448FA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  <w:r w:rsidRPr="00664635">
        <w:rPr>
          <w:rStyle w:val="Robust"/>
          <w:sz w:val="22"/>
          <w:szCs w:val="22"/>
          <w:lang w:val="en-GB"/>
        </w:rPr>
        <w:t>1.</w:t>
      </w:r>
      <w:r w:rsidRPr="00664635">
        <w:rPr>
          <w:rStyle w:val="Robust"/>
          <w:sz w:val="22"/>
          <w:szCs w:val="22"/>
          <w:lang w:val="en-GB"/>
        </w:rPr>
        <w:tab/>
        <w:t>Publication reference</w:t>
      </w:r>
    </w:p>
    <w:p w14:paraId="2095FDA7" w14:textId="77777777" w:rsidR="00B448FA" w:rsidRPr="00664635" w:rsidRDefault="0058622E">
      <w:pPr>
        <w:pStyle w:val="Blockquote"/>
        <w:ind w:left="284"/>
        <w:rPr>
          <w:sz w:val="22"/>
          <w:szCs w:val="22"/>
          <w:lang w:val="en-GB"/>
        </w:rPr>
      </w:pPr>
      <w:r w:rsidRPr="0058622E">
        <w:rPr>
          <w:sz w:val="22"/>
          <w:szCs w:val="22"/>
          <w:lang w:val="en-GB"/>
        </w:rPr>
        <w:t>RORS 373 / Municipality of Jimbolia / 02</w:t>
      </w:r>
    </w:p>
    <w:p w14:paraId="3530A0E6" w14:textId="77777777" w:rsidR="00B448FA" w:rsidRPr="00664635" w:rsidRDefault="00B448FA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  <w:r w:rsidRPr="00664635">
        <w:rPr>
          <w:rStyle w:val="Robust"/>
          <w:sz w:val="22"/>
          <w:szCs w:val="22"/>
          <w:lang w:val="en-GB"/>
        </w:rPr>
        <w:t>2.</w:t>
      </w:r>
      <w:r w:rsidRPr="00664635">
        <w:rPr>
          <w:rStyle w:val="Robust"/>
          <w:sz w:val="22"/>
          <w:szCs w:val="22"/>
          <w:lang w:val="en-GB"/>
        </w:rPr>
        <w:tab/>
        <w:t>Date of publication</w:t>
      </w:r>
    </w:p>
    <w:p w14:paraId="259957FF" w14:textId="77777777" w:rsidR="00B448FA" w:rsidRPr="00664635" w:rsidRDefault="0058622E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18.05.2021</w:t>
      </w:r>
    </w:p>
    <w:p w14:paraId="06D18D35" w14:textId="77777777" w:rsidR="00B448FA" w:rsidRPr="00A546F6" w:rsidRDefault="00B448FA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  <w:r w:rsidRPr="00A546F6">
        <w:rPr>
          <w:rStyle w:val="Robust"/>
          <w:sz w:val="22"/>
          <w:szCs w:val="22"/>
          <w:lang w:val="en-GB"/>
        </w:rPr>
        <w:t>3.</w:t>
      </w:r>
      <w:r w:rsidRPr="00A546F6">
        <w:rPr>
          <w:rStyle w:val="Robust"/>
          <w:sz w:val="22"/>
          <w:szCs w:val="22"/>
          <w:lang w:val="en-GB"/>
        </w:rPr>
        <w:tab/>
        <w:t>Programme</w:t>
      </w:r>
      <w:r w:rsidR="00B07E4D" w:rsidRPr="00A546F6">
        <w:rPr>
          <w:rStyle w:val="Robust"/>
          <w:sz w:val="22"/>
          <w:szCs w:val="22"/>
          <w:lang w:val="en-GB"/>
        </w:rPr>
        <w:t xml:space="preserve"> title</w:t>
      </w:r>
    </w:p>
    <w:p w14:paraId="3022ED3E" w14:textId="77777777" w:rsidR="00B448FA" w:rsidRPr="00062477" w:rsidRDefault="0058622E">
      <w:pPr>
        <w:pStyle w:val="Blockquote"/>
        <w:ind w:left="284"/>
        <w:rPr>
          <w:sz w:val="22"/>
          <w:szCs w:val="22"/>
          <w:lang w:val="en-GB"/>
        </w:rPr>
      </w:pPr>
      <w:r w:rsidRPr="0058622E">
        <w:rPr>
          <w:rStyle w:val="Accentuat"/>
          <w:i w:val="0"/>
          <w:sz w:val="22"/>
          <w:szCs w:val="22"/>
        </w:rPr>
        <w:t>IPA INTERREG CROSS-BORDER ROMANIA-SERBIA PROGRAMME</w:t>
      </w:r>
    </w:p>
    <w:p w14:paraId="46F425D6" w14:textId="77777777" w:rsidR="00B448FA" w:rsidRDefault="00B448FA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  <w:r w:rsidRPr="00664635">
        <w:rPr>
          <w:rStyle w:val="Robust"/>
          <w:sz w:val="22"/>
          <w:szCs w:val="22"/>
          <w:lang w:val="en-GB"/>
        </w:rPr>
        <w:t>4.</w:t>
      </w:r>
      <w:r w:rsidRPr="00664635">
        <w:rPr>
          <w:rStyle w:val="Robust"/>
          <w:sz w:val="22"/>
          <w:szCs w:val="22"/>
          <w:lang w:val="en-GB"/>
        </w:rPr>
        <w:tab/>
        <w:t>Contracting authority</w:t>
      </w:r>
    </w:p>
    <w:p w14:paraId="1F5C5311" w14:textId="77777777" w:rsidR="0058622E" w:rsidRPr="0058622E" w:rsidRDefault="0058622E">
      <w:pPr>
        <w:ind w:left="851" w:hanging="567"/>
        <w:outlineLvl w:val="0"/>
        <w:rPr>
          <w:rStyle w:val="Robust"/>
          <w:b w:val="0"/>
          <w:sz w:val="22"/>
          <w:szCs w:val="22"/>
          <w:lang w:val="en-GB"/>
        </w:rPr>
      </w:pPr>
      <w:r w:rsidRPr="0058622E">
        <w:rPr>
          <w:rStyle w:val="Robust"/>
          <w:b w:val="0"/>
          <w:sz w:val="22"/>
          <w:szCs w:val="22"/>
          <w:lang w:val="en-GB"/>
        </w:rPr>
        <w:t>Municipality of Jimbolia</w:t>
      </w:r>
    </w:p>
    <w:p w14:paraId="33EB823A" w14:textId="77777777" w:rsidR="00B448FA" w:rsidRPr="00664635" w:rsidRDefault="00B448FA">
      <w:pPr>
        <w:ind w:left="851" w:hanging="567"/>
        <w:outlineLvl w:val="0"/>
        <w:rPr>
          <w:rStyle w:val="Robust"/>
          <w:sz w:val="22"/>
          <w:szCs w:val="22"/>
          <w:lang w:val="en-GB"/>
        </w:rPr>
      </w:pPr>
      <w:r w:rsidRPr="00664635">
        <w:rPr>
          <w:rStyle w:val="Robust"/>
          <w:sz w:val="22"/>
          <w:szCs w:val="22"/>
          <w:lang w:val="en-GB"/>
        </w:rPr>
        <w:t>5.</w:t>
      </w:r>
      <w:r w:rsidRPr="00664635">
        <w:rPr>
          <w:rStyle w:val="Robust"/>
          <w:sz w:val="22"/>
          <w:szCs w:val="22"/>
          <w:lang w:val="en-GB"/>
        </w:rPr>
        <w:tab/>
      </w:r>
      <w:r w:rsidR="00512E2B">
        <w:rPr>
          <w:rStyle w:val="Robust"/>
          <w:sz w:val="22"/>
          <w:szCs w:val="22"/>
          <w:lang w:val="en-GB"/>
        </w:rPr>
        <w:t>Reason for cancellation</w:t>
      </w:r>
    </w:p>
    <w:p w14:paraId="6CEFB6BF" w14:textId="77777777" w:rsidR="00B448FA" w:rsidRPr="00664635" w:rsidRDefault="00E15E5F" w:rsidP="00E15E5F">
      <w:pPr>
        <w:pStyle w:val="Blockquote"/>
        <w:ind w:left="284"/>
        <w:jc w:val="both"/>
        <w:rPr>
          <w:sz w:val="22"/>
          <w:szCs w:val="22"/>
          <w:lang w:val="en-GB"/>
        </w:rPr>
      </w:pPr>
      <w:r w:rsidRPr="00E15E5F">
        <w:rPr>
          <w:sz w:val="22"/>
          <w:szCs w:val="22"/>
          <w:lang w:val="en-GB"/>
        </w:rPr>
        <w:t>Due to the fact that in the document PART A Information for tenderers, there is an error in editing the name of the procurement, which could generate procedural problems</w:t>
      </w:r>
      <w:r>
        <w:rPr>
          <w:sz w:val="22"/>
          <w:szCs w:val="22"/>
          <w:lang w:val="en-GB"/>
        </w:rPr>
        <w:t xml:space="preserve">, </w:t>
      </w:r>
      <w:r w:rsidRPr="00E15E5F">
        <w:rPr>
          <w:sz w:val="22"/>
          <w:szCs w:val="22"/>
          <w:lang w:val="en-GB"/>
        </w:rPr>
        <w:t>the Contracting Authority decides to cancel the procedure. After the error is fixed, the tender procedure will be restarted</w:t>
      </w:r>
      <w:r>
        <w:rPr>
          <w:sz w:val="22"/>
          <w:szCs w:val="22"/>
          <w:lang w:val="en-GB"/>
        </w:rPr>
        <w:t xml:space="preserve">  </w:t>
      </w:r>
      <w:r w:rsidR="00B448FA" w:rsidRPr="00664635">
        <w:rPr>
          <w:sz w:val="22"/>
          <w:szCs w:val="22"/>
          <w:lang w:val="en-GB"/>
        </w:rPr>
        <w:t xml:space="preserve"> </w:t>
      </w:r>
    </w:p>
    <w:p w14:paraId="4342A8C2" w14:textId="7DC7268B" w:rsidR="00B448FA" w:rsidRPr="00664635" w:rsidRDefault="00926242">
      <w:pPr>
        <w:rPr>
          <w:sz w:val="22"/>
          <w:szCs w:val="22"/>
          <w:lang w:val="en-GB"/>
        </w:rPr>
      </w:pPr>
      <w:r w:rsidRPr="00664635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1B4799" wp14:editId="5F634126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B9F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" o:allowincell="f" strokecolor="#d4d4d4" strokeweight="1.75pt">
                <v:shadow on="t" offset="0,-1pt"/>
              </v:line>
            </w:pict>
          </mc:Fallback>
        </mc:AlternateContent>
      </w:r>
    </w:p>
    <w:p w14:paraId="6F50FF8D" w14:textId="77777777" w:rsidR="00B448FA" w:rsidRPr="00664635" w:rsidRDefault="00B448FA">
      <w:pPr>
        <w:jc w:val="both"/>
        <w:rPr>
          <w:rStyle w:val="Robust"/>
          <w:sz w:val="22"/>
          <w:szCs w:val="22"/>
          <w:lang w:val="en-GB"/>
        </w:rPr>
      </w:pPr>
      <w:r w:rsidRPr="00664635">
        <w:rPr>
          <w:rStyle w:val="Robust"/>
          <w:sz w:val="22"/>
          <w:szCs w:val="22"/>
          <w:lang w:val="en-GB"/>
        </w:rPr>
        <w:t>Notes:</w:t>
      </w:r>
    </w:p>
    <w:p w14:paraId="1168C5B4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>, unless the c</w:t>
      </w:r>
      <w:r w:rsidR="00A546F6">
        <w:t>ontracting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14:paraId="7B753911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default" r:id="rId8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1E05" w14:textId="77777777" w:rsidR="00667AF2" w:rsidRDefault="00667AF2">
      <w:r>
        <w:separator/>
      </w:r>
    </w:p>
  </w:endnote>
  <w:endnote w:type="continuationSeparator" w:id="0">
    <w:p w14:paraId="76D695BF" w14:textId="77777777" w:rsidR="00667AF2" w:rsidRDefault="006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E184" w14:textId="77777777" w:rsidR="00667AF2" w:rsidRDefault="00667AF2">
      <w:r>
        <w:separator/>
      </w:r>
    </w:p>
  </w:footnote>
  <w:footnote w:type="continuationSeparator" w:id="0">
    <w:p w14:paraId="2991B67D" w14:textId="77777777" w:rsidR="00667AF2" w:rsidRDefault="0066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CFF8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377C7"/>
    <w:rsid w:val="000553B0"/>
    <w:rsid w:val="00062477"/>
    <w:rsid w:val="00067017"/>
    <w:rsid w:val="000707FA"/>
    <w:rsid w:val="00091BEF"/>
    <w:rsid w:val="000F6A13"/>
    <w:rsid w:val="001115FA"/>
    <w:rsid w:val="0013772C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96969"/>
    <w:rsid w:val="004B614B"/>
    <w:rsid w:val="004C01BA"/>
    <w:rsid w:val="00507E67"/>
    <w:rsid w:val="005124A6"/>
    <w:rsid w:val="00512E2B"/>
    <w:rsid w:val="00513F4E"/>
    <w:rsid w:val="00570FBE"/>
    <w:rsid w:val="0058622E"/>
    <w:rsid w:val="00591F79"/>
    <w:rsid w:val="00592E8C"/>
    <w:rsid w:val="00664635"/>
    <w:rsid w:val="00667AF2"/>
    <w:rsid w:val="006A1E7B"/>
    <w:rsid w:val="006F2C67"/>
    <w:rsid w:val="00711B30"/>
    <w:rsid w:val="0078198F"/>
    <w:rsid w:val="00797F1E"/>
    <w:rsid w:val="007E276E"/>
    <w:rsid w:val="007F5CFD"/>
    <w:rsid w:val="00814656"/>
    <w:rsid w:val="0086221D"/>
    <w:rsid w:val="00862D26"/>
    <w:rsid w:val="00874EA2"/>
    <w:rsid w:val="008943D0"/>
    <w:rsid w:val="008A3F4C"/>
    <w:rsid w:val="00926242"/>
    <w:rsid w:val="00930C06"/>
    <w:rsid w:val="0093664B"/>
    <w:rsid w:val="00981097"/>
    <w:rsid w:val="00993F23"/>
    <w:rsid w:val="009A115A"/>
    <w:rsid w:val="009A4E17"/>
    <w:rsid w:val="009A5A7F"/>
    <w:rsid w:val="009B5E88"/>
    <w:rsid w:val="00A546F6"/>
    <w:rsid w:val="00A62639"/>
    <w:rsid w:val="00A67484"/>
    <w:rsid w:val="00A705B8"/>
    <w:rsid w:val="00A84FF9"/>
    <w:rsid w:val="00A85775"/>
    <w:rsid w:val="00A87F93"/>
    <w:rsid w:val="00AB413C"/>
    <w:rsid w:val="00AD00EC"/>
    <w:rsid w:val="00AE62B2"/>
    <w:rsid w:val="00AF3706"/>
    <w:rsid w:val="00AF7E6D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81557"/>
    <w:rsid w:val="00CB4A89"/>
    <w:rsid w:val="00D035B7"/>
    <w:rsid w:val="00D72C33"/>
    <w:rsid w:val="00DA14E1"/>
    <w:rsid w:val="00DB103E"/>
    <w:rsid w:val="00DC4D5F"/>
    <w:rsid w:val="00DD00B3"/>
    <w:rsid w:val="00E15E5F"/>
    <w:rsid w:val="00E51D25"/>
    <w:rsid w:val="00E5722A"/>
    <w:rsid w:val="00E630EA"/>
    <w:rsid w:val="00E975EC"/>
    <w:rsid w:val="00EC0328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294B9"/>
  <w15:chartTrackingRefBased/>
  <w15:docId w15:val="{2DC07EF0-0A85-4710-9542-4EE4463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HyperlinkParcurs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Parteainferioaraformularului-z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Parteasuperioaraformularului-z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Robust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ntet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6A1E7B"/>
  </w:style>
  <w:style w:type="paragraph" w:styleId="TextnBalon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rsid w:val="00512E2B"/>
    <w:rPr>
      <w:sz w:val="20"/>
    </w:rPr>
  </w:style>
  <w:style w:type="character" w:customStyle="1" w:styleId="TextnotdesubsolCaracter">
    <w:name w:val="Text notă de subsol Caracter"/>
    <w:link w:val="Textnotdesubsol"/>
    <w:rsid w:val="00512E2B"/>
    <w:rPr>
      <w:snapToGrid w:val="0"/>
      <w:lang w:val="en-US" w:eastAsia="en-US"/>
    </w:rPr>
  </w:style>
  <w:style w:type="character" w:styleId="Referinnotdesubsol">
    <w:name w:val="footnote reference"/>
    <w:rsid w:val="00512E2B"/>
    <w:rPr>
      <w:vertAlign w:val="superscript"/>
    </w:rPr>
  </w:style>
  <w:style w:type="character" w:styleId="Referincomentariu">
    <w:name w:val="annotation reference"/>
    <w:rsid w:val="003E07F2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3E07F2"/>
    <w:rPr>
      <w:sz w:val="20"/>
    </w:rPr>
  </w:style>
  <w:style w:type="character" w:customStyle="1" w:styleId="TextcomentariuCaracter">
    <w:name w:val="Text comentariu Caracter"/>
    <w:link w:val="Textcomentariu"/>
    <w:rsid w:val="003E07F2"/>
    <w:rPr>
      <w:snapToGrid w:val="0"/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3E07F2"/>
    <w:rPr>
      <w:b/>
      <w:bCs/>
    </w:rPr>
  </w:style>
  <w:style w:type="character" w:customStyle="1" w:styleId="SubiectComentariuCaracter">
    <w:name w:val="Subiect Comentariu Caracter"/>
    <w:link w:val="SubiectComentariu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199B-52FD-461F-BB73-6FF500E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Vasile Pop</cp:lastModifiedBy>
  <cp:revision>2</cp:revision>
  <cp:lastPrinted>2013-12-16T09:49:00Z</cp:lastPrinted>
  <dcterms:created xsi:type="dcterms:W3CDTF">2021-05-18T08:43:00Z</dcterms:created>
  <dcterms:modified xsi:type="dcterms:W3CDTF">2021-05-18T08:43:00Z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